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A3" w:rsidRPr="00FF44B2" w:rsidRDefault="00C52AA3" w:rsidP="00FF44B2">
      <w:pPr>
        <w:pStyle w:val="ab"/>
        <w:spacing w:line="240" w:lineRule="exact"/>
        <w:ind w:firstLineChars="0" w:firstLine="0"/>
        <w:rPr>
          <w:rFonts w:ascii="微软雅黑" w:eastAsia="微软雅黑" w:hAnsi="微软雅黑" w:hint="eastAsia"/>
          <w:sz w:val="22"/>
          <w:szCs w:val="22"/>
        </w:rPr>
      </w:pPr>
    </w:p>
    <w:p w:rsidR="00FF44B2" w:rsidRDefault="000C10F1" w:rsidP="00FF44B2">
      <w:pPr>
        <w:pStyle w:val="ac"/>
        <w:spacing w:line="600" w:lineRule="exact"/>
        <w:rPr>
          <w:rFonts w:ascii="微软雅黑" w:eastAsia="微软雅黑" w:hAnsi="微软雅黑"/>
          <w:b/>
          <w:bCs/>
          <w:color w:val="7030A0"/>
          <w:sz w:val="40"/>
          <w:szCs w:val="40"/>
        </w:rPr>
      </w:pPr>
      <w:r w:rsidRPr="00FF44B2">
        <w:rPr>
          <w:rFonts w:ascii="微软雅黑" w:eastAsia="微软雅黑" w:hAnsi="微软雅黑" w:hint="eastAsia"/>
          <w:b/>
          <w:bCs/>
          <w:color w:val="7030A0"/>
          <w:sz w:val="40"/>
          <w:szCs w:val="40"/>
        </w:rPr>
        <w:t>最高人民法院关于审理</w:t>
      </w:r>
    </w:p>
    <w:p w:rsidR="00C52AA3" w:rsidRPr="00FF44B2" w:rsidRDefault="000C10F1" w:rsidP="00FF44B2">
      <w:pPr>
        <w:pStyle w:val="ac"/>
        <w:spacing w:line="600" w:lineRule="exact"/>
        <w:rPr>
          <w:rFonts w:ascii="微软雅黑" w:eastAsia="微软雅黑" w:hAnsi="微软雅黑"/>
          <w:b/>
          <w:bCs/>
          <w:color w:val="7030A0"/>
          <w:sz w:val="40"/>
          <w:szCs w:val="40"/>
        </w:rPr>
      </w:pPr>
      <w:r w:rsidRPr="00FF44B2">
        <w:rPr>
          <w:rFonts w:ascii="微软雅黑" w:eastAsia="微软雅黑" w:hAnsi="微软雅黑" w:hint="eastAsia"/>
          <w:b/>
          <w:bCs/>
          <w:color w:val="7030A0"/>
          <w:sz w:val="40"/>
          <w:szCs w:val="40"/>
        </w:rPr>
        <w:t>生态环境侵权纠纷案件适用惩罚性赔偿的解释</w:t>
      </w:r>
    </w:p>
    <w:p w:rsidR="000C48D7" w:rsidRDefault="000C48D7" w:rsidP="00FF44B2">
      <w:pPr>
        <w:pStyle w:val="ab"/>
        <w:spacing w:line="240" w:lineRule="exact"/>
        <w:ind w:firstLine="440"/>
        <w:rPr>
          <w:rFonts w:ascii="微软雅黑" w:eastAsia="微软雅黑" w:hAnsi="微软雅黑"/>
          <w:sz w:val="22"/>
          <w:szCs w:val="22"/>
        </w:rPr>
      </w:pPr>
    </w:p>
    <w:p w:rsidR="00FF44B2" w:rsidRDefault="00FF44B2" w:rsidP="00FF44B2">
      <w:pPr>
        <w:pStyle w:val="ab"/>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022-01-20</w:t>
      </w:r>
    </w:p>
    <w:p w:rsidR="00FF44B2" w:rsidRPr="00FF44B2" w:rsidRDefault="00FF44B2" w:rsidP="00FF44B2">
      <w:pPr>
        <w:pStyle w:val="ab"/>
        <w:spacing w:line="240" w:lineRule="exact"/>
        <w:ind w:firstLine="440"/>
        <w:rPr>
          <w:rFonts w:ascii="微软雅黑" w:eastAsia="微软雅黑" w:hAnsi="微软雅黑" w:hint="eastAsia"/>
          <w:sz w:val="22"/>
          <w:szCs w:val="22"/>
        </w:rPr>
      </w:pPr>
    </w:p>
    <w:p w:rsidR="000C48D7" w:rsidRPr="00FF44B2" w:rsidRDefault="000C48D7" w:rsidP="00FF44B2">
      <w:pPr>
        <w:pStyle w:val="ae"/>
        <w:spacing w:line="240" w:lineRule="exact"/>
        <w:rPr>
          <w:rFonts w:ascii="微软雅黑" w:eastAsia="微软雅黑" w:hAnsi="微软雅黑"/>
          <w:sz w:val="22"/>
          <w:szCs w:val="22"/>
        </w:rPr>
      </w:pPr>
      <w:r w:rsidRPr="00FF44B2">
        <w:rPr>
          <w:rFonts w:ascii="微软雅黑" w:eastAsia="微软雅黑" w:hAnsi="微软雅黑" w:hint="eastAsia"/>
          <w:sz w:val="22"/>
          <w:szCs w:val="22"/>
        </w:rPr>
        <w:t>法释〔2022〕1号</w:t>
      </w:r>
      <w:bookmarkStart w:id="0" w:name="_GoBack"/>
      <w:bookmarkEnd w:id="0"/>
    </w:p>
    <w:p w:rsidR="000C48D7" w:rsidRPr="00FF44B2" w:rsidRDefault="000C48D7" w:rsidP="00FF44B2">
      <w:pPr>
        <w:pStyle w:val="ab"/>
        <w:spacing w:line="240" w:lineRule="exact"/>
        <w:ind w:firstLine="440"/>
        <w:rPr>
          <w:rFonts w:ascii="微软雅黑" w:eastAsia="微软雅黑" w:hAnsi="微软雅黑"/>
          <w:sz w:val="22"/>
          <w:szCs w:val="22"/>
        </w:rPr>
      </w:pPr>
    </w:p>
    <w:p w:rsidR="00C52AA3" w:rsidRPr="00FF44B2" w:rsidRDefault="000C10F1" w:rsidP="00FF44B2">
      <w:pPr>
        <w:pStyle w:val="af"/>
        <w:spacing w:line="240" w:lineRule="exact"/>
        <w:ind w:left="630" w:right="630"/>
        <w:rPr>
          <w:rFonts w:ascii="微软雅黑" w:eastAsia="微软雅黑" w:hAnsi="微软雅黑"/>
          <w:sz w:val="21"/>
          <w:szCs w:val="21"/>
        </w:rPr>
      </w:pPr>
      <w:r w:rsidRPr="00FF44B2">
        <w:rPr>
          <w:rFonts w:ascii="微软雅黑" w:eastAsia="微软雅黑" w:hAnsi="微软雅黑" w:hint="eastAsia"/>
          <w:sz w:val="21"/>
          <w:szCs w:val="21"/>
        </w:rPr>
        <w:t>（2021年12月27日最高人民法院审判委员会第1858次会议通过，自2022年1月20日起施行）</w:t>
      </w:r>
    </w:p>
    <w:p w:rsidR="00C52AA3" w:rsidRPr="00FF44B2" w:rsidRDefault="00C52AA3" w:rsidP="00FF44B2">
      <w:pPr>
        <w:pStyle w:val="ab"/>
        <w:spacing w:line="400" w:lineRule="exact"/>
        <w:ind w:firstLine="480"/>
        <w:rPr>
          <w:rFonts w:ascii="微软雅黑" w:eastAsia="微软雅黑" w:hAnsi="微软雅黑"/>
          <w:sz w:val="24"/>
          <w:szCs w:val="24"/>
        </w:rPr>
      </w:pP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为妥善审理生态环境侵权纠纷案件，全面加强生态环境保护，正确适用惩罚性赔偿，根据《中华人民共和国民法典》《中华人民共和国环境保护法》《中华人民共和国民事诉讼法》等相关法律规定,结合审判实践,制定本解释。</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第一条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人民法院审理生态环境侵权纠纷案件适用惩罚性赔偿，应当严格审慎，注重公平公正，依法保护民事主体合法权益，统筹生态环境保护和经济社会发展。</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第二条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 xml:space="preserve">因环境污染、生态破坏受到损害的自然人、法人或者非法人组织，依据民法典第一千二百三十二条的规定，请求判令侵权人承担惩罚性赔偿责任的，适用本解释。    </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第三条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被侵权人在生态环境侵权纠纷案件中请求惩罚性赔偿的，应当在起诉时明确赔偿数额以及所依据的事实和理由。</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被侵权人在生态环境侵权纠纷案件中没有提出惩罚性赔偿的诉讼请求，诉讼终结后又基于同</w:t>
      </w:r>
      <w:proofErr w:type="gramStart"/>
      <w:r w:rsidRPr="00FF44B2">
        <w:rPr>
          <w:rFonts w:ascii="微软雅黑" w:eastAsia="微软雅黑" w:hAnsi="微软雅黑" w:hint="eastAsia"/>
          <w:sz w:val="24"/>
          <w:szCs w:val="24"/>
        </w:rPr>
        <w:t>一污染</w:t>
      </w:r>
      <w:proofErr w:type="gramEnd"/>
      <w:r w:rsidRPr="00FF44B2">
        <w:rPr>
          <w:rFonts w:ascii="微软雅黑" w:eastAsia="微软雅黑" w:hAnsi="微软雅黑" w:hint="eastAsia"/>
          <w:sz w:val="24"/>
          <w:szCs w:val="24"/>
        </w:rPr>
        <w:t>环境、破坏生态事实另行起诉请求惩罚性赔偿的，人民法院不予受理。</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第四条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被侵权人主张侵权人承担惩罚性赔偿责任的，应当提供证据证明以下事实：</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（一）侵权人污染环境、破坏生态的行为违反法律规定；</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（二）侵权人具有污染环境、破坏生态的故意；</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（三）侵权人污染环境、破坏生态的行为造成严重后果。</w:t>
      </w:r>
    </w:p>
    <w:p w:rsidR="00C52AA3" w:rsidRPr="00FF44B2" w:rsidRDefault="000C10F1" w:rsidP="00FF44B2">
      <w:pPr>
        <w:pStyle w:val="ab"/>
        <w:spacing w:line="400" w:lineRule="exact"/>
        <w:ind w:firstLine="480"/>
        <w:rPr>
          <w:rFonts w:ascii="微软雅黑" w:eastAsia="微软雅黑" w:hAnsi="微软雅黑"/>
          <w:spacing w:val="4"/>
          <w:sz w:val="24"/>
          <w:szCs w:val="24"/>
        </w:rPr>
      </w:pPr>
      <w:r w:rsidRPr="00010C37">
        <w:rPr>
          <w:rStyle w:val="ad"/>
          <w:rFonts w:ascii="微软雅黑" w:eastAsia="微软雅黑" w:hAnsi="微软雅黑" w:hint="eastAsia"/>
          <w:b/>
          <w:bCs/>
          <w:sz w:val="24"/>
          <w:szCs w:val="24"/>
        </w:rPr>
        <w:t>第五条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人民法院认定侵权人污染环境、破坏生态的行为是否违反法律规定，应当以法律、法规为依据，</w:t>
      </w:r>
      <w:r w:rsidRPr="00FF44B2">
        <w:rPr>
          <w:rFonts w:ascii="微软雅黑" w:eastAsia="微软雅黑" w:hAnsi="微软雅黑" w:hint="eastAsia"/>
          <w:spacing w:val="4"/>
          <w:sz w:val="24"/>
          <w:szCs w:val="24"/>
        </w:rPr>
        <w:t>可以参照规章的规定。</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第六条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人民法院认定侵权人是否具有污染环境、破坏生态的故意，应当根据侵权人的职业经历、专业背景或者经营范围，因同</w:t>
      </w:r>
      <w:proofErr w:type="gramStart"/>
      <w:r w:rsidRPr="00FF44B2">
        <w:rPr>
          <w:rFonts w:ascii="微软雅黑" w:eastAsia="微软雅黑" w:hAnsi="微软雅黑" w:hint="eastAsia"/>
          <w:sz w:val="24"/>
          <w:szCs w:val="24"/>
        </w:rPr>
        <w:t>一或者</w:t>
      </w:r>
      <w:proofErr w:type="gramEnd"/>
      <w:r w:rsidRPr="00FF44B2">
        <w:rPr>
          <w:rFonts w:ascii="微软雅黑" w:eastAsia="微软雅黑" w:hAnsi="微软雅黑" w:hint="eastAsia"/>
          <w:sz w:val="24"/>
          <w:szCs w:val="24"/>
        </w:rPr>
        <w:t>同类行为受到行政处罚或者刑事追究的情况，以及污染物的种类，污染环境、破坏生态行为的方式等因素综合判断。</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第七条</w:t>
      </w:r>
      <w:r w:rsidR="000C48D7"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具有下列情形之一的，人民法院应当认定侵权人具有污染环境、破坏生态的故意：</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（一）因同</w:t>
      </w:r>
      <w:proofErr w:type="gramStart"/>
      <w:r w:rsidRPr="00FF44B2">
        <w:rPr>
          <w:rFonts w:ascii="微软雅黑" w:eastAsia="微软雅黑" w:hAnsi="微软雅黑" w:hint="eastAsia"/>
          <w:sz w:val="24"/>
          <w:szCs w:val="24"/>
        </w:rPr>
        <w:t>一污染</w:t>
      </w:r>
      <w:proofErr w:type="gramEnd"/>
      <w:r w:rsidRPr="00FF44B2">
        <w:rPr>
          <w:rFonts w:ascii="微软雅黑" w:eastAsia="微软雅黑" w:hAnsi="微软雅黑" w:hint="eastAsia"/>
          <w:sz w:val="24"/>
          <w:szCs w:val="24"/>
        </w:rPr>
        <w:t>环境、破坏生态行为，已被人民法院认定构成破坏环境资源保护犯罪的；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（二）建设项目未依法进行环境影响评价，或者提供虚假材料导致环境影响评价文件严重失实，被行政主管部门责令停止建设后拒不执行的；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三）未取得排污许可证排放污染物，被行政主管部门责令停止排污后拒不执行，或者超过污染物排放标准或者重点污染物排放总量控制指标排放污染物，经行政主管机关责令限制生产、停产整治或者给予其他行政处罚后仍不改正的；</w:t>
      </w:r>
    </w:p>
    <w:p w:rsidR="00C52AA3"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（四）生产、使用国家明令禁止生产、使用的农药，被行政主管部门责令改正后拒不改正的；</w:t>
      </w:r>
    </w:p>
    <w:p w:rsidR="00010C37" w:rsidRPr="00FF44B2" w:rsidRDefault="00010C37" w:rsidP="00FF44B2">
      <w:pPr>
        <w:pStyle w:val="ab"/>
        <w:spacing w:line="400" w:lineRule="exact"/>
        <w:ind w:firstLine="480"/>
        <w:rPr>
          <w:rFonts w:ascii="微软雅黑" w:eastAsia="微软雅黑" w:hAnsi="微软雅黑" w:hint="eastAsia"/>
          <w:sz w:val="24"/>
          <w:szCs w:val="24"/>
        </w:rPr>
      </w:pPr>
    </w:p>
    <w:p w:rsidR="00C52AA3" w:rsidRPr="00FF44B2" w:rsidRDefault="000C10F1" w:rsidP="00FF44B2">
      <w:pPr>
        <w:pStyle w:val="ab"/>
        <w:spacing w:line="400" w:lineRule="exact"/>
        <w:ind w:firstLine="480"/>
        <w:rPr>
          <w:rFonts w:ascii="微软雅黑" w:eastAsia="微软雅黑" w:hAnsi="微软雅黑"/>
          <w:spacing w:val="4"/>
          <w:sz w:val="24"/>
          <w:szCs w:val="24"/>
        </w:rPr>
      </w:pPr>
      <w:r w:rsidRPr="00FF44B2">
        <w:rPr>
          <w:rFonts w:ascii="微软雅黑" w:eastAsia="微软雅黑" w:hAnsi="微软雅黑" w:hint="eastAsia"/>
          <w:sz w:val="24"/>
          <w:szCs w:val="24"/>
        </w:rPr>
        <w:lastRenderedPageBreak/>
        <w:t>（五）无危险废物经营许可证而从事收集、贮存、利用、处置危险废物经营活动，</w:t>
      </w:r>
      <w:r w:rsidRPr="00FF44B2">
        <w:rPr>
          <w:rFonts w:ascii="微软雅黑" w:eastAsia="微软雅黑" w:hAnsi="微软雅黑" w:hint="eastAsia"/>
          <w:spacing w:val="4"/>
          <w:sz w:val="24"/>
          <w:szCs w:val="24"/>
        </w:rPr>
        <w:t>或者知道或者应当知道他人无许可证而将危险废物提供或者委托给其从事收集、贮存、利用、处置等活动的；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（六）将未经处理的废水、废气、废渣直接排放或者倾倒的；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（七）通过暗管、渗井、渗坑、灌注，篡改、伪造监测数据，或者以不正常运行防治污染设施等逃避监管的方式，违法排放污染物的；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（八）在相关自然保护区域、禁猎（渔）区、禁猎（渔）期使用禁止使用的猎捕工具、方法猎捕、杀害国家重点保护野生动物、破坏野生动物栖息地的；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（九）未取得勘查许可证、采矿许可证，或者采取破坏性方法勘查开采矿产资源的；</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（十）其他故意情形。</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第八条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人民法院认定侵权人污染环境、破坏生态行为是否造成严重后果，应当根据污染环境、破坏生态行为的持续时间、地域范围，造成环境污染、生态破坏的范围和程度，以及造成的社会影响等因素综合判断。</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侵权人污染环境、破坏生态行为造成他人死亡、健康严重损害，重大财产损失，生态环境严重损害或者重大不良社会影响的，人民法院应当认定为造成严重后果。</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第九条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人民法院确定惩罚性赔偿金数额，应当以环境污染、生态破坏造成的人身损害赔偿金、财产损失数额作为计算基数。</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前款所称人身损害赔偿金、财产损失数额，依照民法典第一千一百七十九条、第一千一百八十四条规定予以确定。法律另有规定的，依照其规定。</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第十条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人民法院确定惩罚性赔偿金数额，应当综合考虑侵权人的恶意程度、侵权后果的严重程度、侵权人因污染环境、破坏生态行为所获得的利益或者侵权人所采取的修复措施及其效果等因素，但一般不超过人身损害赔偿金、财产损失数额的二倍。</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因同</w:t>
      </w:r>
      <w:proofErr w:type="gramStart"/>
      <w:r w:rsidRPr="00FF44B2">
        <w:rPr>
          <w:rFonts w:ascii="微软雅黑" w:eastAsia="微软雅黑" w:hAnsi="微软雅黑" w:hint="eastAsia"/>
          <w:sz w:val="24"/>
          <w:szCs w:val="24"/>
        </w:rPr>
        <w:t>一污染</w:t>
      </w:r>
      <w:proofErr w:type="gramEnd"/>
      <w:r w:rsidRPr="00FF44B2">
        <w:rPr>
          <w:rFonts w:ascii="微软雅黑" w:eastAsia="微软雅黑" w:hAnsi="微软雅黑" w:hint="eastAsia"/>
          <w:sz w:val="24"/>
          <w:szCs w:val="24"/>
        </w:rPr>
        <w:t>环境、破坏生态行为已经被行政机关给予罚款或者被人民法院判处罚金，侵权人主张免除惩罚性赔偿责任的，人民法院不予支持，但在确定惩罚性赔偿金数额时可以综合考虑。</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第十一条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侵权人因同</w:t>
      </w:r>
      <w:proofErr w:type="gramStart"/>
      <w:r w:rsidRPr="00FF44B2">
        <w:rPr>
          <w:rFonts w:ascii="微软雅黑" w:eastAsia="微软雅黑" w:hAnsi="微软雅黑" w:hint="eastAsia"/>
          <w:sz w:val="24"/>
          <w:szCs w:val="24"/>
        </w:rPr>
        <w:t>一污染</w:t>
      </w:r>
      <w:proofErr w:type="gramEnd"/>
      <w:r w:rsidRPr="00FF44B2">
        <w:rPr>
          <w:rFonts w:ascii="微软雅黑" w:eastAsia="微软雅黑" w:hAnsi="微软雅黑" w:hint="eastAsia"/>
          <w:sz w:val="24"/>
          <w:szCs w:val="24"/>
        </w:rPr>
        <w:t>环境、破坏生态行为,应当承担包括惩罚性赔偿在内的民事责任、行政责任和刑事责任，其财产不足以支付的，应当优先用于承担民事责任。</w:t>
      </w:r>
    </w:p>
    <w:p w:rsidR="00C52AA3" w:rsidRPr="00FF44B2" w:rsidRDefault="000C10F1" w:rsidP="00FF44B2">
      <w:pPr>
        <w:pStyle w:val="ab"/>
        <w:spacing w:line="400" w:lineRule="exact"/>
        <w:ind w:firstLine="480"/>
        <w:rPr>
          <w:rFonts w:ascii="微软雅黑" w:eastAsia="微软雅黑" w:hAnsi="微软雅黑"/>
          <w:sz w:val="24"/>
          <w:szCs w:val="24"/>
        </w:rPr>
      </w:pPr>
      <w:r w:rsidRPr="00FF44B2">
        <w:rPr>
          <w:rFonts w:ascii="微软雅黑" w:eastAsia="微软雅黑" w:hAnsi="微软雅黑" w:hint="eastAsia"/>
          <w:sz w:val="24"/>
          <w:szCs w:val="24"/>
        </w:rPr>
        <w:t>侵权人因同</w:t>
      </w:r>
      <w:proofErr w:type="gramStart"/>
      <w:r w:rsidRPr="00FF44B2">
        <w:rPr>
          <w:rFonts w:ascii="微软雅黑" w:eastAsia="微软雅黑" w:hAnsi="微软雅黑" w:hint="eastAsia"/>
          <w:sz w:val="24"/>
          <w:szCs w:val="24"/>
        </w:rPr>
        <w:t>一污染</w:t>
      </w:r>
      <w:proofErr w:type="gramEnd"/>
      <w:r w:rsidRPr="00FF44B2">
        <w:rPr>
          <w:rFonts w:ascii="微软雅黑" w:eastAsia="微软雅黑" w:hAnsi="微软雅黑" w:hint="eastAsia"/>
          <w:sz w:val="24"/>
          <w:szCs w:val="24"/>
        </w:rPr>
        <w:t>环境、破坏生态行为,应当承担包括惩罚性赔偿在内的民事责任，其财产不足以支付的，应当优先用于承担惩罚性赔偿以外的其他责任。</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第十二条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国家规定的机关或者法律规定的组织作为被侵权人代表，请求判令侵权人承担惩罚性赔偿责任的，人民法院可以参照前述规定予以处理。但惩罚性赔偿金数额的确定，应当以生态环境受到损害至修复完成期间服务功能丧失导致的损失、生态环境功能永久性损害造成的损失数额作为计算基数。</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第十三条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侵权行为实施地、损害结果发生地在中华人民共和国管辖海域内的海洋生态环境侵权纠纷案件惩罚性赔偿问题,另行规定。</w:t>
      </w:r>
    </w:p>
    <w:p w:rsidR="00C52AA3" w:rsidRPr="00FF44B2" w:rsidRDefault="000C10F1" w:rsidP="00FF44B2">
      <w:pPr>
        <w:pStyle w:val="ab"/>
        <w:spacing w:line="400" w:lineRule="exact"/>
        <w:ind w:firstLine="480"/>
        <w:rPr>
          <w:rFonts w:ascii="微软雅黑" w:eastAsia="微软雅黑" w:hAnsi="微软雅黑"/>
          <w:sz w:val="24"/>
          <w:szCs w:val="24"/>
        </w:rPr>
      </w:pPr>
      <w:r w:rsidRPr="00010C37">
        <w:rPr>
          <w:rStyle w:val="ad"/>
          <w:rFonts w:ascii="微软雅黑" w:eastAsia="微软雅黑" w:hAnsi="微软雅黑" w:hint="eastAsia"/>
          <w:b/>
          <w:bCs/>
          <w:sz w:val="24"/>
          <w:szCs w:val="24"/>
        </w:rPr>
        <w:t>第十四条</w:t>
      </w:r>
      <w:r w:rsidR="00B349D6" w:rsidRPr="00FF44B2">
        <w:rPr>
          <w:rStyle w:val="ad"/>
          <w:rFonts w:ascii="微软雅黑" w:eastAsia="微软雅黑" w:hAnsi="微软雅黑" w:hint="eastAsia"/>
          <w:sz w:val="24"/>
          <w:szCs w:val="24"/>
        </w:rPr>
        <w:t xml:space="preserve">　</w:t>
      </w:r>
      <w:r w:rsidRPr="00FF44B2">
        <w:rPr>
          <w:rFonts w:ascii="微软雅黑" w:eastAsia="微软雅黑" w:hAnsi="微软雅黑" w:hint="eastAsia"/>
          <w:sz w:val="24"/>
          <w:szCs w:val="24"/>
        </w:rPr>
        <w:t>本规定自2022年1月20日起施行。</w:t>
      </w:r>
    </w:p>
    <w:sectPr w:rsidR="00C52AA3" w:rsidRPr="00FF44B2" w:rsidSect="00FF44B2">
      <w:footerReference w:type="even" r:id="rId8"/>
      <w:footerReference w:type="default" r:id="rId9"/>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F2D" w:rsidRDefault="002F7F2D">
      <w:r>
        <w:separator/>
      </w:r>
    </w:p>
  </w:endnote>
  <w:endnote w:type="continuationSeparator" w:id="0">
    <w:p w:rsidR="002F7F2D" w:rsidRDefault="002F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F6" w:rsidRDefault="00555C36" w:rsidP="00555C36">
    <w:pPr>
      <w:pStyle w:val="af1"/>
      <w:ind w:right="-378"/>
    </w:pPr>
    <w:r>
      <w:fldChar w:fldCharType="begin"/>
    </w:r>
    <w:r>
      <w:instrText xml:space="preserve"> PAGE  \* ArabicDash  \* MERGEFORMAT </w:instrText>
    </w:r>
    <w:r>
      <w:fldChar w:fldCharType="separate"/>
    </w:r>
    <w:r>
      <w:rPr>
        <w:noProof/>
      </w:rPr>
      <w:t>- 4 -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6B" w:rsidRPr="00555C36" w:rsidRDefault="00555C36" w:rsidP="00FF44B2">
    <w:pPr>
      <w:pStyle w:val="af0"/>
      <w:ind w:left="-378" w:firstLineChars="3550" w:firstLine="9940"/>
    </w:pPr>
    <w:r>
      <w:fldChar w:fldCharType="begin"/>
    </w:r>
    <w:r>
      <w:instrText xml:space="preserve"> PAGE  \* ArabicDash  \* MERGEFORMAT </w:instrText>
    </w:r>
    <w:r>
      <w:fldChar w:fldCharType="separate"/>
    </w:r>
    <w:r w:rsidR="008A6D00">
      <w:rPr>
        <w:noProof/>
      </w:rPr>
      <w:t>- 5 -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F2D" w:rsidRDefault="002F7F2D">
      <w:r>
        <w:separator/>
      </w:r>
    </w:p>
  </w:footnote>
  <w:footnote w:type="continuationSeparator" w:id="0">
    <w:p w:rsidR="002F7F2D" w:rsidRDefault="002F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6AC3E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2B0DE7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C0C3DF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B96359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DB4D1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946F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B0421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6ECC5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68270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C5A762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10C37"/>
    <w:rsid w:val="00022FF2"/>
    <w:rsid w:val="000246CF"/>
    <w:rsid w:val="00026B55"/>
    <w:rsid w:val="000300E0"/>
    <w:rsid w:val="000341E4"/>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10F1"/>
    <w:rsid w:val="000C2019"/>
    <w:rsid w:val="000C4793"/>
    <w:rsid w:val="000C48D7"/>
    <w:rsid w:val="000D7352"/>
    <w:rsid w:val="000E4EE9"/>
    <w:rsid w:val="000E5187"/>
    <w:rsid w:val="000E56CF"/>
    <w:rsid w:val="000E6D88"/>
    <w:rsid w:val="000F150B"/>
    <w:rsid w:val="000F2196"/>
    <w:rsid w:val="000F2D91"/>
    <w:rsid w:val="000F5EBA"/>
    <w:rsid w:val="00105524"/>
    <w:rsid w:val="0010572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051F"/>
    <w:rsid w:val="001F0DE5"/>
    <w:rsid w:val="002064F7"/>
    <w:rsid w:val="00206B2B"/>
    <w:rsid w:val="0021638E"/>
    <w:rsid w:val="002215C5"/>
    <w:rsid w:val="002216B9"/>
    <w:rsid w:val="0023259F"/>
    <w:rsid w:val="00233F94"/>
    <w:rsid w:val="00235183"/>
    <w:rsid w:val="00241E35"/>
    <w:rsid w:val="002428F9"/>
    <w:rsid w:val="0025530F"/>
    <w:rsid w:val="0025742F"/>
    <w:rsid w:val="002671B1"/>
    <w:rsid w:val="00271C80"/>
    <w:rsid w:val="00276E3D"/>
    <w:rsid w:val="00277543"/>
    <w:rsid w:val="00281EEF"/>
    <w:rsid w:val="0028710F"/>
    <w:rsid w:val="002A0E27"/>
    <w:rsid w:val="002A0E47"/>
    <w:rsid w:val="002A1765"/>
    <w:rsid w:val="002A1BB0"/>
    <w:rsid w:val="002A6513"/>
    <w:rsid w:val="002A7E25"/>
    <w:rsid w:val="002B5E8C"/>
    <w:rsid w:val="002C11D2"/>
    <w:rsid w:val="002D6C55"/>
    <w:rsid w:val="002E52C2"/>
    <w:rsid w:val="002E71C4"/>
    <w:rsid w:val="002F7F2D"/>
    <w:rsid w:val="0030431D"/>
    <w:rsid w:val="00311EB0"/>
    <w:rsid w:val="00313AEE"/>
    <w:rsid w:val="0031621E"/>
    <w:rsid w:val="00327650"/>
    <w:rsid w:val="00333A39"/>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14A3"/>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D024E"/>
    <w:rsid w:val="004F5158"/>
    <w:rsid w:val="00506C84"/>
    <w:rsid w:val="005142A1"/>
    <w:rsid w:val="00517CAB"/>
    <w:rsid w:val="0052425D"/>
    <w:rsid w:val="00536EBF"/>
    <w:rsid w:val="0053713F"/>
    <w:rsid w:val="005433C2"/>
    <w:rsid w:val="005502F2"/>
    <w:rsid w:val="00555C36"/>
    <w:rsid w:val="00562083"/>
    <w:rsid w:val="0057423C"/>
    <w:rsid w:val="0058350A"/>
    <w:rsid w:val="00586344"/>
    <w:rsid w:val="00594376"/>
    <w:rsid w:val="005A3B1C"/>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47205"/>
    <w:rsid w:val="00661621"/>
    <w:rsid w:val="006711F4"/>
    <w:rsid w:val="00676EF6"/>
    <w:rsid w:val="0068140B"/>
    <w:rsid w:val="00685825"/>
    <w:rsid w:val="0069347C"/>
    <w:rsid w:val="006B086F"/>
    <w:rsid w:val="006B22C9"/>
    <w:rsid w:val="006D20A9"/>
    <w:rsid w:val="006E0F35"/>
    <w:rsid w:val="006E1FF4"/>
    <w:rsid w:val="006E7630"/>
    <w:rsid w:val="006F0A7E"/>
    <w:rsid w:val="006F6FC3"/>
    <w:rsid w:val="006F7D77"/>
    <w:rsid w:val="00715180"/>
    <w:rsid w:val="00720A73"/>
    <w:rsid w:val="00720CAF"/>
    <w:rsid w:val="00723C21"/>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01F2"/>
    <w:rsid w:val="00813FEC"/>
    <w:rsid w:val="00814E29"/>
    <w:rsid w:val="00823C1E"/>
    <w:rsid w:val="00826D77"/>
    <w:rsid w:val="0083338D"/>
    <w:rsid w:val="00866250"/>
    <w:rsid w:val="008701AB"/>
    <w:rsid w:val="0087139A"/>
    <w:rsid w:val="00877798"/>
    <w:rsid w:val="008802DB"/>
    <w:rsid w:val="00881967"/>
    <w:rsid w:val="00885F48"/>
    <w:rsid w:val="00890F76"/>
    <w:rsid w:val="0089274E"/>
    <w:rsid w:val="008A08FA"/>
    <w:rsid w:val="008A6D00"/>
    <w:rsid w:val="008E70E5"/>
    <w:rsid w:val="008F50DB"/>
    <w:rsid w:val="008F5238"/>
    <w:rsid w:val="008F7723"/>
    <w:rsid w:val="00904BC8"/>
    <w:rsid w:val="00911248"/>
    <w:rsid w:val="00913A4E"/>
    <w:rsid w:val="00925F75"/>
    <w:rsid w:val="00962E70"/>
    <w:rsid w:val="00971108"/>
    <w:rsid w:val="0097410F"/>
    <w:rsid w:val="00974280"/>
    <w:rsid w:val="00974393"/>
    <w:rsid w:val="0097704C"/>
    <w:rsid w:val="00986E71"/>
    <w:rsid w:val="00992211"/>
    <w:rsid w:val="009942EB"/>
    <w:rsid w:val="009A1862"/>
    <w:rsid w:val="009A5861"/>
    <w:rsid w:val="009A78E1"/>
    <w:rsid w:val="009A7FCF"/>
    <w:rsid w:val="009B548C"/>
    <w:rsid w:val="009D0163"/>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C4F2A"/>
    <w:rsid w:val="00AD35D8"/>
    <w:rsid w:val="00AD6BB8"/>
    <w:rsid w:val="00AF6D19"/>
    <w:rsid w:val="00B018B8"/>
    <w:rsid w:val="00B11B35"/>
    <w:rsid w:val="00B1436F"/>
    <w:rsid w:val="00B15B51"/>
    <w:rsid w:val="00B17FDC"/>
    <w:rsid w:val="00B22148"/>
    <w:rsid w:val="00B25C4D"/>
    <w:rsid w:val="00B312C5"/>
    <w:rsid w:val="00B32A99"/>
    <w:rsid w:val="00B349D6"/>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2AA3"/>
    <w:rsid w:val="00C53D36"/>
    <w:rsid w:val="00C57E0D"/>
    <w:rsid w:val="00C636EE"/>
    <w:rsid w:val="00C7181C"/>
    <w:rsid w:val="00C73C73"/>
    <w:rsid w:val="00C748B2"/>
    <w:rsid w:val="00C75F27"/>
    <w:rsid w:val="00C76A21"/>
    <w:rsid w:val="00C85BE4"/>
    <w:rsid w:val="00CA2B61"/>
    <w:rsid w:val="00CA3B61"/>
    <w:rsid w:val="00CB05CD"/>
    <w:rsid w:val="00CB268F"/>
    <w:rsid w:val="00CD046D"/>
    <w:rsid w:val="00CD15F8"/>
    <w:rsid w:val="00CD207F"/>
    <w:rsid w:val="00CF0128"/>
    <w:rsid w:val="00CF0812"/>
    <w:rsid w:val="00CF0F89"/>
    <w:rsid w:val="00CF245A"/>
    <w:rsid w:val="00CF41FE"/>
    <w:rsid w:val="00CF4321"/>
    <w:rsid w:val="00CF5E94"/>
    <w:rsid w:val="00CF7BE1"/>
    <w:rsid w:val="00D0443A"/>
    <w:rsid w:val="00D07F94"/>
    <w:rsid w:val="00D16B69"/>
    <w:rsid w:val="00D21DEB"/>
    <w:rsid w:val="00D30FFC"/>
    <w:rsid w:val="00D34B52"/>
    <w:rsid w:val="00D3514F"/>
    <w:rsid w:val="00D35821"/>
    <w:rsid w:val="00D5052C"/>
    <w:rsid w:val="00D6146B"/>
    <w:rsid w:val="00D6266A"/>
    <w:rsid w:val="00D91F48"/>
    <w:rsid w:val="00D937CE"/>
    <w:rsid w:val="00D97443"/>
    <w:rsid w:val="00DB1764"/>
    <w:rsid w:val="00DB2440"/>
    <w:rsid w:val="00DB3C8A"/>
    <w:rsid w:val="00DB5F18"/>
    <w:rsid w:val="00DC5F89"/>
    <w:rsid w:val="00DD0C51"/>
    <w:rsid w:val="00DD7AE6"/>
    <w:rsid w:val="00DF37D4"/>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25943"/>
    <w:rsid w:val="00F3114F"/>
    <w:rsid w:val="00F3147A"/>
    <w:rsid w:val="00F31FF1"/>
    <w:rsid w:val="00F3408E"/>
    <w:rsid w:val="00F347B6"/>
    <w:rsid w:val="00F37571"/>
    <w:rsid w:val="00F44A15"/>
    <w:rsid w:val="00F46B3C"/>
    <w:rsid w:val="00F4769A"/>
    <w:rsid w:val="00F4779A"/>
    <w:rsid w:val="00F64D94"/>
    <w:rsid w:val="00F70562"/>
    <w:rsid w:val="00F744B5"/>
    <w:rsid w:val="00F74986"/>
    <w:rsid w:val="00F845F5"/>
    <w:rsid w:val="00F84788"/>
    <w:rsid w:val="00F865EA"/>
    <w:rsid w:val="00F90AF4"/>
    <w:rsid w:val="00F92C7B"/>
    <w:rsid w:val="00FA21BD"/>
    <w:rsid w:val="00FB46C7"/>
    <w:rsid w:val="00FC2B5F"/>
    <w:rsid w:val="00FD0009"/>
    <w:rsid w:val="00FD51B5"/>
    <w:rsid w:val="00FE78F7"/>
    <w:rsid w:val="00FF402A"/>
    <w:rsid w:val="00FF44B2"/>
    <w:rsid w:val="00FF690A"/>
    <w:rsid w:val="60CB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E54F3"/>
  <w15:docId w15:val="{E5266DFB-EBE2-4D4F-918D-75584A40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rsid w:val="00D6146B"/>
    <w:pP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sid w:val="00D6146B"/>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 w:type="paragraph" w:customStyle="1" w:styleId="ab">
    <w:name w:val="法 正文"/>
    <w:qFormat/>
    <w:rsid w:val="0025530F"/>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rsid w:val="0025530F"/>
    <w:pPr>
      <w:widowControl w:val="0"/>
      <w:spacing w:line="560" w:lineRule="exact"/>
      <w:jc w:val="center"/>
    </w:pPr>
    <w:rPr>
      <w:rFonts w:ascii="仿宋_GB2312" w:hAnsi="仿宋_GB2312" w:cs="仿宋_GB2312"/>
      <w:kern w:val="2"/>
      <w:sz w:val="44"/>
      <w:szCs w:val="32"/>
    </w:rPr>
  </w:style>
  <w:style w:type="character" w:customStyle="1" w:styleId="ad">
    <w:name w:val="黑体　三号"/>
    <w:basedOn w:val="a0"/>
    <w:uiPriority w:val="1"/>
    <w:qFormat/>
    <w:rsid w:val="0025530F"/>
    <w:rPr>
      <w:rFonts w:eastAsia="黑体"/>
      <w:sz w:val="32"/>
    </w:rPr>
  </w:style>
  <w:style w:type="paragraph" w:customStyle="1" w:styleId="ae">
    <w:name w:val="法 法释"/>
    <w:qFormat/>
    <w:rsid w:val="000C48D7"/>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rsid w:val="000C48D7"/>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1">
    <w:name w:val="样式1"/>
    <w:basedOn w:val="a8"/>
    <w:qFormat/>
    <w:rsid w:val="00FE78F7"/>
  </w:style>
  <w:style w:type="paragraph" w:customStyle="1" w:styleId="af0">
    <w:name w:val="法 页码 奇"/>
    <w:qFormat/>
    <w:rsid w:val="00555C36"/>
    <w:pPr>
      <w:widowControl w:val="0"/>
      <w:spacing w:line="560" w:lineRule="exact"/>
      <w:ind w:leftChars="-180" w:left="-180"/>
    </w:pPr>
    <w:rPr>
      <w:rFonts w:ascii="宋体"/>
      <w:kern w:val="2"/>
      <w:sz w:val="28"/>
      <w:szCs w:val="18"/>
    </w:rPr>
  </w:style>
  <w:style w:type="paragraph" w:customStyle="1" w:styleId="af1">
    <w:name w:val="法 页码 偶"/>
    <w:qFormat/>
    <w:rsid w:val="00555C36"/>
    <w:pPr>
      <w:widowControl w:val="0"/>
      <w:spacing w:line="560" w:lineRule="exact"/>
      <w:ind w:rightChars="-180" w:right="-180"/>
      <w:jc w:val="right"/>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2135-8DC7-46FF-98B9-8DBC8B54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328</Words>
  <Characters>1870</Characters>
  <Application>Microsoft Office Word</Application>
  <DocSecurity>0</DocSecurity>
  <Lines>15</Lines>
  <Paragraphs>4</Paragraphs>
  <ScaleCrop>false</ScaleCrop>
  <Company>Lenovo (Beijing) Limited</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43</cp:revision>
  <cp:lastPrinted>2014-04-03T09:04:00Z</cp:lastPrinted>
  <dcterms:created xsi:type="dcterms:W3CDTF">2022-01-12T03:32:00Z</dcterms:created>
  <dcterms:modified xsi:type="dcterms:W3CDTF">2025-08-26T09:47:00Z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E93CC8175A6E4C3698BE2D0BC0B321DA</vt:lpwstr>
  </property>
</Properties>
</file>